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EEE" w:rsidRDefault="00064EEE" w:rsidP="00064EEE">
      <w:pPr>
        <w:pStyle w:val="3"/>
        <w:spacing w:before="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64EEE">
        <w:rPr>
          <w:rFonts w:ascii="Times New Roman" w:eastAsia="Times New Roman" w:hAnsi="Times New Roman"/>
          <w:b/>
          <w:sz w:val="28"/>
          <w:szCs w:val="28"/>
        </w:rPr>
        <w:t>Пояснение по заполнению формы "Отчет о прибылях и убытках"</w:t>
      </w:r>
    </w:p>
    <w:p w:rsidR="00064EEE" w:rsidRPr="00064EEE" w:rsidRDefault="00064EEE" w:rsidP="00064EEE">
      <w:pPr>
        <w:pStyle w:val="3"/>
        <w:spacing w:before="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064EEE" w:rsidRPr="002B495D" w:rsidRDefault="00064EEE" w:rsidP="00064EEE">
      <w:pPr>
        <w:pStyle w:val="a3"/>
        <w:spacing w:before="0" w:beforeAutospacing="0" w:after="0" w:afterAutospacing="0"/>
        <w:rPr>
          <w:rFonts w:eastAsiaTheme="minorEastAsia"/>
        </w:rPr>
      </w:pPr>
      <w:r w:rsidRPr="002B495D">
        <w:t>      </w:t>
      </w:r>
      <w:proofErr w:type="gramStart"/>
      <w:r w:rsidRPr="002B495D">
        <w:t xml:space="preserve">1) Форма "Отчет о прибылях и убытках" разработана в соответствии с подпунктом 18-1) </w:t>
      </w:r>
      <w:hyperlink r:id="rId4" w:anchor="z87" w:history="1">
        <w:r w:rsidRPr="002B495D">
          <w:rPr>
            <w:rStyle w:val="a4"/>
          </w:rPr>
          <w:t>пункта 5</w:t>
        </w:r>
      </w:hyperlink>
      <w:r w:rsidRPr="002B495D">
        <w:t xml:space="preserve"> статьи 20 Закона Республики Казахстан от 28 февраля 2007 года "О бухгалтерском учете и финансовой отчетности".</w:t>
      </w:r>
      <w:proofErr w:type="gramEnd"/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 xml:space="preserve">      2) Форма "Отчет о прибылях и убытках" представляется организациями публичного интереса по результатам финансового года в депозитарий финансовой отчетности в электронном формате посредством программного обеспечения. Подписывается "Отчет о прибылях и убытках"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</w:t>
      </w:r>
      <w:proofErr w:type="gramStart"/>
      <w:r w:rsidRPr="002B495D">
        <w:t>за</w:t>
      </w:r>
      <w:proofErr w:type="gramEnd"/>
      <w:r w:rsidRPr="002B495D">
        <w:t xml:space="preserve"> отчетным. Основной задачей ведения данной формы является осуществление мониторинга за соблюдением бухгалтерского законодательства Республики Казахстан.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3) Форма заполняется следующим образом: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 xml:space="preserve">      В графе "Наименование показателей" указывается: 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В строке "Выручка" 010 указывается сумма сальдо по счетам подраздела 6000 – "Доход от реализации продукции" ТПС;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В строке "Себестоимость реализованных товаров и услуг" 011 указывается сумма сальдо по счетам подраздела 7000 – "Себестоимость реализованной продукции и оказанных услуг" ТПС;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в графе "Валовая прибыль" 012 указывается разница строк 010 и 011;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 xml:space="preserve">      В строке "Расходы по реализации" 013 указывается сумма сальдо по счетам подраздела 7100 – "Расходы по реализации продукции и оказанию услуг" ТПС; 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 xml:space="preserve">      В строке "Административные расходы" 014 указывается сумма сальдо по счетам подраздела 7200 – "Административные расходы" ТПС; 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 xml:space="preserve">      В строках "Прочие расходы" 015 и "Прочие </w:t>
      </w:r>
      <w:proofErr w:type="spellStart"/>
      <w:r w:rsidRPr="002B495D">
        <w:t>неоперационные</w:t>
      </w:r>
      <w:proofErr w:type="spellEnd"/>
      <w:r w:rsidRPr="002B495D">
        <w:t xml:space="preserve"> доходы" 024 указывается сумма сальдо по счетам подраздела 7400 – "Прочие расходы" ТПС; 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 xml:space="preserve">      В строках "Прочие доходы" 016 и "Прочие </w:t>
      </w:r>
      <w:proofErr w:type="spellStart"/>
      <w:r w:rsidRPr="002B495D">
        <w:t>неоперационные</w:t>
      </w:r>
      <w:proofErr w:type="spellEnd"/>
      <w:r w:rsidRPr="002B495D">
        <w:t xml:space="preserve"> расходы" 025 указывается сумма сальдо по счетам подраздела 6200 – "Прочие доходы" ТПС; 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Значение графы "Итого операционная прибыль (убыток)" 020 равно: +/- строк с 012 по 016;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В строке "Доходы по финансированию" 021 указывается сумма сальдо по счетам подраздела 6100 – "Доходы от финансирования" ТПС;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В строке "Расходы по финансированию" 022 указывается сумма сальдо по счетам подраздела 7300 – "Расходы на финансирование" ТПС;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В строке "Доля организации в прибыли (убытке) ассоциированных организаций и совместной деятельности, учитываемых по методу долевого участия" 023 указывается сумма сальдо по счетам подраздела 6400 – "Доля прибыли организаций, учитываемых по методу долевого участия" ТПС либо 7600 – "Доля в убытке организаций, учитываемых методом долевого участия" ТПС;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Значение графы "Прибыль (убыток) до налогообложения" 100 указывается: +/- строк с 020 по 025;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В строке "Расходы по подоходному налогу" 101 указывается сумма сальдо по счетам подраздела 7700 – "Расходы по корпоративному подоходному налогу" ТПС;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Значение графы "Прибыль (убыток) после налогообложения от продолжающейся деятельности" 200 указывается разница строк 100 и 101;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"Прибыль (убыток) после налогообложения от прекращенной деятельности" 201;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 xml:space="preserve">      Значение графы "Прибыль за год" 300 равно сумме строк 200 и 201 относимая </w:t>
      </w:r>
      <w:proofErr w:type="gramStart"/>
      <w:r w:rsidRPr="002B495D">
        <w:t>на</w:t>
      </w:r>
      <w:proofErr w:type="gramEnd"/>
      <w:r w:rsidRPr="002B495D">
        <w:t xml:space="preserve">: 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собственников материнской организации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долю неконтролирующих собственников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 xml:space="preserve">      Значение графы "Прочая совокупная прибыль, всего" 400 равно (сумма строк с 410 по 420): 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в том числе: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"Переоценка основных средств" 410;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"Переоценка финансовых активов, имеющихся в наличии для продажи" 411;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lastRenderedPageBreak/>
        <w:t>      "Доля в прочей совокупной прибыли (убытке) ассоциированных организаций и совместной деятельности, учитываемых по методу долевого участия" 412;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"Актуарные прибыли (убытки) по пенсионным обязательствам" 413;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"Эффект изменения в ставке подоходного налога на отсроченный налог дочерних организаций" 414;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"Хеджирование денежных потоков" 415;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"Курсовая разница по инвестициям в зарубежные организации" 416;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"Хеджирование чистых инвестиций в зарубежные операции" 417;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"Прочие компоненты прочей совокупной прибыли" 418;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 xml:space="preserve">      "Корректировка при </w:t>
      </w:r>
      <w:proofErr w:type="spellStart"/>
      <w:r w:rsidRPr="002B495D">
        <w:t>реклассификации</w:t>
      </w:r>
      <w:proofErr w:type="spellEnd"/>
      <w:r w:rsidRPr="002B495D">
        <w:t xml:space="preserve"> в составе прибыли (убытка)" 419;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"Налоговый эффект компонентов прочей совокупной прибыли" 420;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Значение графы "Общая совокупная прибыль" 500 указывается сумма строк 300 и 400;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 xml:space="preserve">      Общая совокупная </w:t>
      </w:r>
      <w:proofErr w:type="gramStart"/>
      <w:r w:rsidRPr="002B495D">
        <w:t>прибыль</w:t>
      </w:r>
      <w:proofErr w:type="gramEnd"/>
      <w:r w:rsidRPr="002B495D">
        <w:t xml:space="preserve"> относимая на: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собственников материнской организации;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доля неконтролирующих собственников;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 xml:space="preserve">      В графе "Прибыль на акцию" 600 указывается прибыль на акцию, 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в том числе: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Базовая прибыль на акцию: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от продолжающейся деятельности;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от прекращенной деятельности;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Разводненная прибыль на акцию: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от продолжающейся деятельности;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от прекращенной деятельности.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в графе "Код строки" указывается код строки.</w:t>
      </w:r>
    </w:p>
    <w:p w:rsidR="00064EEE" w:rsidRPr="002B495D" w:rsidRDefault="00064EEE" w:rsidP="00064EEE">
      <w:pPr>
        <w:pStyle w:val="a3"/>
        <w:spacing w:before="0" w:beforeAutospacing="0" w:after="0" w:afterAutospacing="0"/>
      </w:pPr>
      <w:r w:rsidRPr="002B495D">
        <w:t>      в графе "На конец отчетного периода" указывается сумма в тысячах тенге на конец отчетного периода.</w:t>
      </w:r>
    </w:p>
    <w:p w:rsidR="00064EEE" w:rsidRPr="002B495D" w:rsidRDefault="00064EEE" w:rsidP="00064EEE">
      <w:pPr>
        <w:rPr>
          <w:sz w:val="24"/>
          <w:szCs w:val="24"/>
        </w:rPr>
      </w:pPr>
      <w:r w:rsidRPr="002B495D">
        <w:rPr>
          <w:sz w:val="24"/>
          <w:szCs w:val="24"/>
        </w:rPr>
        <w:t>      в графе "На начало отчетного периода" указывается сумма в тысячах тенге на начало отчетного периода</w:t>
      </w:r>
    </w:p>
    <w:p w:rsidR="00064EEE" w:rsidRDefault="00064EEE" w:rsidP="00064EEE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Light">
    <w:altName w:val="Segoe UI"/>
    <w:panose1 w:val="020B0502040204020203"/>
    <w:charset w:val="CC"/>
    <w:family w:val="swiss"/>
    <w:pitch w:val="variable"/>
    <w:sig w:usb0="00000001" w:usb1="4000A47B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4EEE"/>
    <w:rsid w:val="00064EEE"/>
    <w:rsid w:val="000E5821"/>
    <w:rsid w:val="00190430"/>
    <w:rsid w:val="003D2423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EEE"/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9"/>
    <w:qFormat/>
    <w:rsid w:val="00064EEE"/>
    <w:pPr>
      <w:spacing w:before="248" w:after="248" w:line="375" w:lineRule="atLeast"/>
      <w:outlineLvl w:val="2"/>
    </w:pPr>
    <w:rPr>
      <w:rFonts w:ascii="Segoe UI Light" w:eastAsiaTheme="minorEastAsia" w:hAnsi="Segoe UI Light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64EEE"/>
    <w:rPr>
      <w:rFonts w:ascii="Segoe UI Light" w:eastAsiaTheme="minorEastAsia" w:hAnsi="Segoe UI Light" w:cs="Times New Roman"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64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64E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/rus/docs/Z070000234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767</Words>
  <Characters>4375</Characters>
  <Application>Microsoft Office Word</Application>
  <DocSecurity>0</DocSecurity>
  <Lines>36</Lines>
  <Paragraphs>10</Paragraphs>
  <ScaleCrop>false</ScaleCrop>
  <Company/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2020-11-12T12:49:00Z</dcterms:created>
  <dcterms:modified xsi:type="dcterms:W3CDTF">2020-11-12T12:51:00Z</dcterms:modified>
</cp:coreProperties>
</file>